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d686ac81b42f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50602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ZA UPRAVLJANJE SPORTSKIM OBJEKTIMA SPORTSKI OBJEKTI TROGIR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642.352,44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525.982,66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354.940,64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559.651,94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33.669,28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316.607,90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99.226,17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316.607,90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99.226,17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17.104,55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računovodstvenih pravila, postoji vremenski odmak između prihoda i rashoda koji se za razliku od prihoda, evidentiraju u trenutku nastanka događaja. Višak prihoda iz vlastitih izvora, korigiran  za preneseno stanje je iskazan ma kontu potraživanja 167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290.416,76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349.585,00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Povećanje uslijed financiranja rasta materijalnih rashoda (zamjena travnjaka na nogometnom igralištu, povećanje plaće)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297.550,01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117.607,07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39,5</w:t>
            </w:r>
          </w:p>
        </w:tc>
      </w:tr>
    </w:tbl>
    <w:p>
      <w:pPr>
        <w:spacing w:before="0" w:after="0"/>
      </w:pPr>
    </w:p>
    <w:p>
      <w:r>
        <w:t xml:space="preserve">U prethodnoj godini se odvijala značajnija nabava koja se je odnosila na izgradnju dječjeg igrališta u Krtinama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93.693,78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275.077,01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293,6</w:t>
            </w:r>
          </w:p>
        </w:tc>
      </w:tr>
    </w:tbl>
    <w:p>
      <w:pPr>
        <w:spacing w:before="0" w:after="0"/>
      </w:pPr>
    </w:p>
    <w:p>
      <w:r>
        <w:t xml:space="preserve">Povećanje rashoda je posljedica zamjene travnjaka na nogometnom igralištu na Batariji, a uslijed čega se je ustanova zadužila za 150.000 eura kod Erste banke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Stavka predstavlja raspoloživa vlastita sredstva na dan 31.12.2025.g, a korekcijom istih za neplaćene obveze iz vlastitih izvora dobiva se kumulativni višak ili manjak za vlastita sredstva.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dospijelih obveza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Zaduženje kod Erste banke, otplata je u 23 anuiteta po kamatnoj stopi od 2,8%, a prvi anutete dospijeva 31.01.2026.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972a5e368045df" /></Relationships>
</file>